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C164F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D00EB">
        <w:rPr>
          <w:rFonts w:eastAsia="Times New Roman" w:cstheme="minorHAnsi"/>
          <w:b/>
          <w:color w:val="000000"/>
          <w:sz w:val="24"/>
          <w:szCs w:val="24"/>
          <w:lang w:eastAsia="pt-BR"/>
        </w:rPr>
        <w:t>10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D00EB">
        <w:rPr>
          <w:rFonts w:eastAsia="Times New Roman" w:cstheme="minorHAnsi"/>
          <w:b/>
          <w:color w:val="000000"/>
          <w:sz w:val="24"/>
          <w:szCs w:val="24"/>
          <w:lang w:eastAsia="pt-BR"/>
        </w:rPr>
        <w:t>09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C164F4" w:rsidRDefault="004846D3" w:rsidP="00BD00EB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D00EB">
        <w:rPr>
          <w:rFonts w:eastAsia="Times New Roman" w:cstheme="minorHAnsi"/>
          <w:b/>
          <w:sz w:val="24"/>
          <w:szCs w:val="24"/>
          <w:lang w:eastAsia="pt-BR"/>
        </w:rPr>
        <w:t xml:space="preserve">Reposição Salarial dos Servidores de Porto </w:t>
      </w:r>
    </w:p>
    <w:p w:rsidR="004846D3" w:rsidRDefault="00C164F4" w:rsidP="00BD00EB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</w:t>
      </w:r>
      <w:r w:rsidR="00BD00EB">
        <w:rPr>
          <w:rFonts w:eastAsia="Times New Roman" w:cstheme="minorHAnsi"/>
          <w:b/>
          <w:sz w:val="24"/>
          <w:szCs w:val="24"/>
          <w:lang w:eastAsia="pt-BR"/>
        </w:rPr>
        <w:t>Esperidião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C164F4" w:rsidRDefault="00C164F4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10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/2018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 Parlamento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Municipal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09/2018 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reajuste anual dos vencimentos dos servidores do quadro do magistério municipal no percentual de 6,81% (seis inteiros e oitenta e um centésimo percentuais) e aos demais servidores no percentual de 1,55% (um inteiro e cinqüenta e cinco centésimos percentuais) em parcela única a ser pago no mês de julho de 2018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 pedido de urgência/urgentíssima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C164F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C164F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25 de abril 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C164F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164F4" w:rsidRDefault="00C164F4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E01A4" w:rsidRPr="00D07785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C164F4">
        <w:rPr>
          <w:rFonts w:cstheme="minorHAnsi"/>
          <w:b/>
          <w:color w:val="000000"/>
          <w:sz w:val="24"/>
          <w:szCs w:val="24"/>
        </w:rPr>
        <w:t xml:space="preserve">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164F4">
        <w:rPr>
          <w:rFonts w:cstheme="minorHAnsi"/>
          <w:b/>
          <w:color w:val="000000"/>
          <w:sz w:val="24"/>
          <w:szCs w:val="24"/>
        </w:rPr>
        <w:t xml:space="preserve"> 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164F4"/>
    <w:rsid w:val="00C2153B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1B6AD-2F37-49CF-82B3-071F7D58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2018-05-05T12:36:00Z</cp:lastPrinted>
  <dcterms:created xsi:type="dcterms:W3CDTF">2018-05-04T11:42:00Z</dcterms:created>
  <dcterms:modified xsi:type="dcterms:W3CDTF">2018-05-05T12:36:00Z</dcterms:modified>
</cp:coreProperties>
</file>