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DF038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920D94">
        <w:rPr>
          <w:rFonts w:eastAsia="Times New Roman" w:cstheme="minorHAnsi"/>
          <w:b/>
          <w:color w:val="000000"/>
          <w:sz w:val="24"/>
          <w:szCs w:val="24"/>
          <w:lang w:eastAsia="pt-BR"/>
        </w:rPr>
        <w:t>13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Nº. 1</w:t>
      </w:r>
      <w:r w:rsidR="00920D94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920D94">
        <w:rPr>
          <w:rFonts w:eastAsia="Times New Roman" w:cstheme="minorHAnsi"/>
          <w:b/>
          <w:sz w:val="24"/>
          <w:szCs w:val="24"/>
          <w:lang w:eastAsia="pt-BR"/>
        </w:rPr>
        <w:t>Reposição salarial do Legislativo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920D94">
        <w:rPr>
          <w:rFonts w:eastAsia="Times New Roman" w:cstheme="minorHAnsi"/>
          <w:b/>
          <w:sz w:val="24"/>
          <w:szCs w:val="24"/>
          <w:lang w:eastAsia="pt-BR"/>
        </w:rPr>
        <w:t>Mesa Diretora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20D94" w:rsidRDefault="00920D94" w:rsidP="00920D9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do ofício n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>º. 0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>9/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18, contendo o pedido de urgência/urgentíssima, a Mesa Diretora submet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>eu a este Parlamento Municipal o Projeto de Lei nº. 1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3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reajuste anual dos vencimentos dos servidores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do Poder Legislativo e Vereadores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d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Porto Esperidião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no percentual de 1,55% (um inteiro e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cinquenta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cinco centésimos percentuais) em parcela única a ser pago no mês de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mai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o de 2018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>so I, do Regimento Interno desta Casa de Leis</w:t>
      </w:r>
      <w:r w:rsidR="00920D94">
        <w:rPr>
          <w:rFonts w:eastAsia="Times New Roman" w:cstheme="minorHAnsi"/>
          <w:color w:val="000000"/>
          <w:sz w:val="24"/>
          <w:szCs w:val="24"/>
          <w:lang w:eastAsia="pt-BR"/>
        </w:rPr>
        <w:t>, no dia 04 de maio</w:t>
      </w:r>
      <w:r w:rsidR="00DF038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ano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DF038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DF0388" w:rsidRDefault="00DF038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BD00EB">
        <w:rPr>
          <w:rFonts w:eastAsia="Times New Roman" w:cstheme="minorHAnsi"/>
          <w:color w:val="000000"/>
          <w:sz w:val="24"/>
          <w:szCs w:val="24"/>
          <w:lang w:eastAsia="pt-BR"/>
        </w:rPr>
        <w:t>07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BD00E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E03D50" w:rsidRDefault="00E03D50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 João Pedro da Silva Silvério         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</w:t>
      </w:r>
      <w:bookmarkStart w:id="0" w:name="_GoBack"/>
      <w:bookmarkEnd w:id="0"/>
      <w:r w:rsidR="00DF0388">
        <w:rPr>
          <w:rFonts w:cstheme="minorHAnsi"/>
          <w:b/>
          <w:color w:val="000000"/>
          <w:sz w:val="24"/>
          <w:szCs w:val="24"/>
        </w:rPr>
        <w:t xml:space="preserve">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75C9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1256D"/>
    <w:rsid w:val="0083172A"/>
    <w:rsid w:val="00870CAF"/>
    <w:rsid w:val="00871F87"/>
    <w:rsid w:val="00877851"/>
    <w:rsid w:val="008A076A"/>
    <w:rsid w:val="008D7C42"/>
    <w:rsid w:val="008E45A7"/>
    <w:rsid w:val="008F18C8"/>
    <w:rsid w:val="009001EB"/>
    <w:rsid w:val="00915DA0"/>
    <w:rsid w:val="00920D94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82C29"/>
    <w:rsid w:val="00AA31E2"/>
    <w:rsid w:val="00AC4E7F"/>
    <w:rsid w:val="00AF6B12"/>
    <w:rsid w:val="00AF72CB"/>
    <w:rsid w:val="00B21141"/>
    <w:rsid w:val="00B30C99"/>
    <w:rsid w:val="00B3144A"/>
    <w:rsid w:val="00B45087"/>
    <w:rsid w:val="00B84BBA"/>
    <w:rsid w:val="00B941B7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77251"/>
    <w:rsid w:val="00CA40ED"/>
    <w:rsid w:val="00CB2008"/>
    <w:rsid w:val="00CC6EC2"/>
    <w:rsid w:val="00CE05D5"/>
    <w:rsid w:val="00CE412D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73D9"/>
    <w:rsid w:val="00DB69D7"/>
    <w:rsid w:val="00DB6C2F"/>
    <w:rsid w:val="00DF0388"/>
    <w:rsid w:val="00DF29AE"/>
    <w:rsid w:val="00DF3D49"/>
    <w:rsid w:val="00E01B96"/>
    <w:rsid w:val="00E03D50"/>
    <w:rsid w:val="00E115F5"/>
    <w:rsid w:val="00E34A73"/>
    <w:rsid w:val="00E620E0"/>
    <w:rsid w:val="00E74389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D03F9-6593-48F8-93E8-C4B07816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2018-05-05T13:09:00Z</cp:lastPrinted>
  <dcterms:created xsi:type="dcterms:W3CDTF">2018-05-05T12:57:00Z</dcterms:created>
  <dcterms:modified xsi:type="dcterms:W3CDTF">2018-05-05T13:09:00Z</dcterms:modified>
</cp:coreProperties>
</file>