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9E6AFB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9E6AFB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9E6AFB">
        <w:rPr>
          <w:rFonts w:eastAsia="Times New Roman" w:cstheme="minorHAnsi"/>
          <w:b/>
          <w:sz w:val="24"/>
          <w:szCs w:val="24"/>
          <w:lang w:eastAsia="pt-BR"/>
        </w:rPr>
        <w:t>Reposição salarial do Legislativo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9E6AFB">
        <w:rPr>
          <w:rFonts w:eastAsia="Times New Roman" w:cstheme="minorHAnsi"/>
          <w:b/>
          <w:sz w:val="24"/>
          <w:szCs w:val="24"/>
          <w:lang w:eastAsia="pt-BR"/>
        </w:rPr>
        <w:t>Mesa Diretora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996D85" w:rsidP="00996D85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>do ofício nº. 069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>18, a Mesa Diretora submeteu 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este Parlamento Municipal o Projeto de Lei nº. 1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>3/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 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9E6AFB" w:rsidRPr="009E6AFB">
        <w:rPr>
          <w:rFonts w:eastAsia="Times New Roman" w:cstheme="minorHAnsi"/>
          <w:color w:val="000000"/>
          <w:sz w:val="24"/>
          <w:szCs w:val="24"/>
          <w:lang w:eastAsia="pt-BR"/>
        </w:rPr>
        <w:t>reajuste anual dos vencimentos dos servidores do Poder Legislativo e Vereadores de Porto Esperidião no percentual de 1,55% (um inteiro e cinquenta e cinco centésimos percentuais) em parcela única a ser pago no mês de maio de 2018. É o relatório.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>, no dia 26 de abril do corrente ano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</w:t>
      </w:r>
      <w:bookmarkStart w:id="0" w:name="_GoBack"/>
      <w:bookmarkEnd w:id="0"/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A068A0"/>
    <w:rsid w:val="00A1127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2018-05-05T13:29:00Z</cp:lastPrinted>
  <dcterms:created xsi:type="dcterms:W3CDTF">2018-05-05T13:25:00Z</dcterms:created>
  <dcterms:modified xsi:type="dcterms:W3CDTF">2018-05-05T13:29:00Z</dcterms:modified>
</cp:coreProperties>
</file>