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D776F3">
      <w:pPr>
        <w:keepNext/>
        <w:ind w:left="3119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776F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A01819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83414">
        <w:rPr>
          <w:rFonts w:eastAsia="Times New Roman" w:cstheme="minorHAnsi"/>
          <w:b/>
          <w:color w:val="000000"/>
          <w:sz w:val="24"/>
          <w:szCs w:val="24"/>
          <w:lang w:eastAsia="pt-BR"/>
        </w:rPr>
        <w:t>18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283414">
        <w:rPr>
          <w:rFonts w:eastAsia="Times New Roman" w:cstheme="minorHAnsi"/>
          <w:b/>
          <w:color w:val="000000"/>
          <w:sz w:val="24"/>
          <w:szCs w:val="24"/>
          <w:lang w:eastAsia="pt-BR"/>
        </w:rPr>
        <w:t>19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9F385E">
        <w:rPr>
          <w:rFonts w:eastAsia="Times New Roman" w:cstheme="minorHAnsi"/>
          <w:b/>
          <w:sz w:val="24"/>
          <w:szCs w:val="24"/>
          <w:lang w:eastAsia="pt-BR"/>
        </w:rPr>
        <w:t>Abertura de crédito adicional especial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AD4B1A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>16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e com pedido de urgência/urgentíssima, 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Executivo remeteu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autorização para abertura de crédito adicional especial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após ser lido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Plenário no </w:t>
      </w:r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dia 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>18 de jun</w:t>
      </w:r>
      <w:bookmarkStart w:id="0" w:name="_GoBack"/>
      <w:bookmarkEnd w:id="0"/>
      <w:r w:rsidR="002922E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ho de 2018 foi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encaminhado para esta Comissão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D776F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28341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de junho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28341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28341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de junho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28341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283414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83414"/>
    <w:rsid w:val="002922E0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9F385E"/>
    <w:rsid w:val="00A01819"/>
    <w:rsid w:val="00A068A0"/>
    <w:rsid w:val="00A11270"/>
    <w:rsid w:val="00A2675D"/>
    <w:rsid w:val="00A82C29"/>
    <w:rsid w:val="00A8600B"/>
    <w:rsid w:val="00AA31E2"/>
    <w:rsid w:val="00AC4E7F"/>
    <w:rsid w:val="00AD4B1A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0AA3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776F3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7536C-F0F0-4F07-88DB-6FCB8A5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7</cp:revision>
  <cp:lastPrinted>2018-07-10T16:23:00Z</cp:lastPrinted>
  <dcterms:created xsi:type="dcterms:W3CDTF">2018-06-30T12:30:00Z</dcterms:created>
  <dcterms:modified xsi:type="dcterms:W3CDTF">2018-07-10T16:23:00Z</dcterms:modified>
</cp:coreProperties>
</file>