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FA7C2F" w:rsidP="00FA7C2F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RECUPERAÇÃO DA ILUMINAÇÃO PÚBLICA</w:t>
      </w:r>
      <w:r w:rsidR="00A76B2A">
        <w:rPr>
          <w:b/>
          <w:bCs/>
          <w:sz w:val="26"/>
          <w:szCs w:val="26"/>
        </w:rPr>
        <w:t xml:space="preserve"> DO DISTRITO DE VILA CARDOSO</w:t>
      </w:r>
      <w:r w:rsidR="002E1978" w:rsidRPr="005B07F6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C7305A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2958E8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Prefeito </w:t>
      </w:r>
      <w:r w:rsidR="002958E8">
        <w:rPr>
          <w:b/>
          <w:sz w:val="26"/>
          <w:szCs w:val="26"/>
        </w:rPr>
        <w:t>Martins Dias de Oliveiro</w:t>
      </w:r>
      <w:r w:rsidR="00FA7C2F">
        <w:rPr>
          <w:b/>
          <w:sz w:val="26"/>
          <w:szCs w:val="26"/>
        </w:rPr>
        <w:t xml:space="preserve">, </w:t>
      </w:r>
      <w:r w:rsidR="00FA7C2F">
        <w:rPr>
          <w:sz w:val="26"/>
          <w:szCs w:val="26"/>
        </w:rPr>
        <w:t xml:space="preserve">com cópia ao Ilustre </w:t>
      </w:r>
      <w:r w:rsidR="00FA7C2F" w:rsidRPr="00FA7C2F">
        <w:rPr>
          <w:b/>
          <w:sz w:val="26"/>
          <w:szCs w:val="26"/>
        </w:rPr>
        <w:t>Reginaldo Alves da Cruz</w:t>
      </w:r>
      <w:r w:rsidR="00FA7C2F">
        <w:rPr>
          <w:sz w:val="26"/>
          <w:szCs w:val="26"/>
        </w:rPr>
        <w:t xml:space="preserve"> – Secretário Municipal de Trânsito, Obras e Serviços Públicos</w:t>
      </w:r>
      <w:r w:rsidR="002958E8">
        <w:rPr>
          <w:b/>
          <w:sz w:val="26"/>
          <w:szCs w:val="26"/>
        </w:rPr>
        <w:t>.</w:t>
      </w:r>
    </w:p>
    <w:p w:rsidR="005551A1" w:rsidRDefault="005551A1" w:rsidP="00EE5DCE">
      <w:pPr>
        <w:ind w:left="-567" w:right="-710"/>
        <w:jc w:val="right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BB744F">
        <w:rPr>
          <w:sz w:val="26"/>
          <w:szCs w:val="26"/>
        </w:rPr>
        <w:t>15</w:t>
      </w:r>
      <w:r w:rsidR="00D92DCD">
        <w:rPr>
          <w:sz w:val="26"/>
          <w:szCs w:val="26"/>
        </w:rPr>
        <w:t xml:space="preserve"> de abril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5B07F6" w:rsidRDefault="005B07F6" w:rsidP="00EE5DCE">
      <w:pPr>
        <w:ind w:left="-567" w:right="-710"/>
        <w:rPr>
          <w:b/>
        </w:rPr>
      </w:pPr>
    </w:p>
    <w:p w:rsidR="005551A1" w:rsidRDefault="005551A1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FA7C2F" w:rsidRPr="005B07F6" w:rsidRDefault="00FA7C2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A76B2A" w:rsidRDefault="002958E8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 xml:space="preserve">Conforme é do conhecimento do Executivo, o Parlamento Municipal, representado pelos seus Vereadores, esteve reunido com moradores do Distrito de Vila Cardoso no dia 03 do corrente mês e ano, oportunidade em que foi pleiteado pelos munícipes dessa localidade 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a </w:t>
      </w:r>
      <w:r w:rsidR="00FA7C2F">
        <w:rPr>
          <w:rFonts w:eastAsia="Calibri" w:cs="Times New Roman"/>
          <w:sz w:val="26"/>
          <w:szCs w:val="26"/>
          <w:lang w:eastAsia="pt-BR"/>
        </w:rPr>
        <w:t>recuperação da iluminação pública de ruas, avenidas e da praça central.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 </w:t>
      </w:r>
    </w:p>
    <w:p w:rsidR="00A76B2A" w:rsidRDefault="00A76B2A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FA7C2F" w:rsidRDefault="002958E8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 xml:space="preserve">Averiguando </w:t>
      </w:r>
      <w:r w:rsidR="00A76B2A" w:rsidRPr="00A76B2A">
        <w:rPr>
          <w:rFonts w:eastAsia="Calibri" w:cs="Times New Roman"/>
          <w:i/>
          <w:sz w:val="26"/>
          <w:szCs w:val="26"/>
          <w:lang w:eastAsia="pt-BR"/>
        </w:rPr>
        <w:t>in loco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 </w:t>
      </w:r>
      <w:r>
        <w:rPr>
          <w:rFonts w:eastAsia="Calibri" w:cs="Times New Roman"/>
          <w:sz w:val="26"/>
          <w:szCs w:val="26"/>
          <w:lang w:eastAsia="pt-BR"/>
        </w:rPr>
        <w:t xml:space="preserve">a situação, constatou-se que </w:t>
      </w:r>
      <w:r w:rsidR="00FA7C2F">
        <w:rPr>
          <w:rFonts w:eastAsia="Calibri" w:cs="Times New Roman"/>
          <w:sz w:val="26"/>
          <w:szCs w:val="26"/>
          <w:lang w:eastAsia="pt-BR"/>
        </w:rPr>
        <w:t>esse serviço está bastante comprometido, tendo em vista as inúmeras lâmpadas queimadas e reatores danificados, acarretando escuridão desses logradouros públicos, deixando-os com ar de abandono</w:t>
      </w:r>
      <w:bookmarkStart w:id="0" w:name="_GoBack"/>
      <w:bookmarkEnd w:id="0"/>
      <w:r w:rsidR="00FA7C2F">
        <w:rPr>
          <w:rFonts w:eastAsia="Calibri" w:cs="Times New Roman"/>
          <w:sz w:val="26"/>
          <w:szCs w:val="26"/>
          <w:lang w:eastAsia="pt-BR"/>
        </w:rPr>
        <w:t xml:space="preserve">. </w:t>
      </w:r>
    </w:p>
    <w:p w:rsidR="00FA7C2F" w:rsidRDefault="00FA7C2F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FA7C2F" w:rsidRDefault="00FA7C2F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Aponta-se</w:t>
      </w:r>
      <w:r w:rsidR="005551A1">
        <w:rPr>
          <w:rFonts w:eastAsia="Calibri" w:cs="Times New Roman"/>
          <w:sz w:val="26"/>
          <w:szCs w:val="26"/>
          <w:lang w:eastAsia="pt-BR"/>
        </w:rPr>
        <w:t xml:space="preserve"> a </w:t>
      </w:r>
      <w:r w:rsidR="00A76B2A">
        <w:rPr>
          <w:rFonts w:eastAsia="Calibri" w:cs="Times New Roman"/>
          <w:sz w:val="26"/>
          <w:szCs w:val="26"/>
          <w:lang w:eastAsia="pt-BR"/>
        </w:rPr>
        <w:t xml:space="preserve">necessidade de </w:t>
      </w:r>
      <w:r>
        <w:rPr>
          <w:rFonts w:eastAsia="Calibri" w:cs="Times New Roman"/>
          <w:sz w:val="26"/>
          <w:szCs w:val="26"/>
          <w:lang w:eastAsia="pt-BR"/>
        </w:rPr>
        <w:t>reparação e restauração da iluminação pública, mesmo porque os contribuintes pagam a taxa de iluminação pública, fazendo jus ao direito de tê-la com qualidade.</w:t>
      </w:r>
    </w:p>
    <w:p w:rsidR="00FA7C2F" w:rsidRDefault="00FA7C2F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07D0" w:rsidRDefault="000807D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07D0" w:rsidRDefault="000807D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07D0" w:rsidRDefault="000807D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07D0" w:rsidRDefault="000807D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0807D0" w:rsidRDefault="000807D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5551A1" w:rsidRDefault="005551A1" w:rsidP="005551A1">
      <w:pPr>
        <w:spacing w:line="240" w:lineRule="auto"/>
        <w:ind w:left="-567" w:right="-710"/>
        <w:rPr>
          <w:b/>
          <w:bCs/>
          <w:sz w:val="26"/>
          <w:szCs w:val="26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Pelos argumentos </w:t>
      </w:r>
      <w:r w:rsidR="00011759">
        <w:rPr>
          <w:rFonts w:cstheme="minorHAnsi"/>
          <w:sz w:val="26"/>
          <w:szCs w:val="26"/>
          <w:shd w:val="clear" w:color="auto" w:fill="FFFFFF"/>
        </w:rPr>
        <w:t>ap</w:t>
      </w:r>
      <w:r>
        <w:rPr>
          <w:rFonts w:cstheme="minorHAnsi"/>
          <w:sz w:val="26"/>
          <w:szCs w:val="26"/>
          <w:shd w:val="clear" w:color="auto" w:fill="FFFFFF"/>
        </w:rPr>
        <w:t>resentados, indicamos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proposto.</w:t>
      </w: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Adriana Cristina Trava               Ailton Picada de Lara                Gelsivane </w:t>
      </w:r>
      <w:proofErr w:type="spellStart"/>
      <w:r>
        <w:rPr>
          <w:b/>
          <w:bCs/>
          <w:sz w:val="26"/>
          <w:szCs w:val="26"/>
        </w:rPr>
        <w:t>Esperdião</w:t>
      </w:r>
      <w:proofErr w:type="spellEnd"/>
      <w:r>
        <w:rPr>
          <w:b/>
          <w:bCs/>
          <w:sz w:val="26"/>
          <w:szCs w:val="26"/>
        </w:rPr>
        <w:t xml:space="preserve"> Mariano</w:t>
      </w:r>
    </w:p>
    <w:p w:rsidR="005551A1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</w:t>
      </w:r>
      <w:r>
        <w:rPr>
          <w:b/>
          <w:sz w:val="26"/>
          <w:szCs w:val="26"/>
        </w:rPr>
        <w:t xml:space="preserve">      </w:t>
      </w:r>
      <w:r w:rsidRPr="008B0D24">
        <w:rPr>
          <w:b/>
          <w:sz w:val="26"/>
          <w:szCs w:val="26"/>
        </w:rPr>
        <w:t xml:space="preserve"> Vereador                      </w:t>
      </w:r>
      <w:r>
        <w:rPr>
          <w:b/>
          <w:sz w:val="26"/>
          <w:szCs w:val="26"/>
        </w:rPr>
        <w:t xml:space="preserve">         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>
        <w:rPr>
          <w:b/>
          <w:bCs/>
          <w:sz w:val="26"/>
          <w:szCs w:val="26"/>
        </w:rPr>
        <w:t xml:space="preserve">             </w:t>
      </w:r>
      <w:r w:rsidRPr="008B0D24">
        <w:rPr>
          <w:b/>
          <w:bCs/>
          <w:sz w:val="26"/>
          <w:szCs w:val="26"/>
        </w:rPr>
        <w:t>Joelb Ferreira de Godoy</w:t>
      </w:r>
      <w:r>
        <w:rPr>
          <w:b/>
          <w:bCs/>
          <w:sz w:val="26"/>
          <w:szCs w:val="26"/>
        </w:rPr>
        <w:t xml:space="preserve">          Ricardo Pereira Junqueira</w:t>
      </w:r>
    </w:p>
    <w:p w:rsidR="005551A1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8B0D24">
        <w:rPr>
          <w:b/>
          <w:sz w:val="26"/>
          <w:szCs w:val="26"/>
        </w:rPr>
        <w:t xml:space="preserve">Vereador                                </w:t>
      </w:r>
      <w:r>
        <w:rPr>
          <w:b/>
          <w:sz w:val="26"/>
          <w:szCs w:val="26"/>
        </w:rPr>
        <w:t xml:space="preserve"> </w:t>
      </w:r>
      <w:r w:rsidRPr="008B0D2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5551A1" w:rsidRPr="008B0D24" w:rsidRDefault="005551A1" w:rsidP="005551A1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>
        <w:rPr>
          <w:b/>
          <w:bCs/>
          <w:sz w:val="26"/>
          <w:szCs w:val="26"/>
        </w:rPr>
        <w:t xml:space="preserve">             Sandro Ronaldo Ferreira           </w:t>
      </w:r>
      <w:r w:rsidRPr="008B0D24">
        <w:rPr>
          <w:b/>
          <w:bCs/>
          <w:sz w:val="26"/>
          <w:szCs w:val="26"/>
        </w:rPr>
        <w:t>Tata da Ambulância</w:t>
      </w:r>
    </w:p>
    <w:p w:rsidR="005551A1" w:rsidRPr="008B0D24" w:rsidRDefault="005551A1" w:rsidP="005551A1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Pr="008B0D24">
        <w:rPr>
          <w:b/>
          <w:sz w:val="26"/>
          <w:szCs w:val="26"/>
        </w:rPr>
        <w:t xml:space="preserve">Vereador                                   </w:t>
      </w:r>
      <w:r>
        <w:rPr>
          <w:b/>
          <w:sz w:val="26"/>
          <w:szCs w:val="26"/>
        </w:rPr>
        <w:t xml:space="preserve">        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</w:t>
      </w:r>
      <w:r w:rsidRPr="008B0D24">
        <w:rPr>
          <w:b/>
          <w:sz w:val="26"/>
          <w:szCs w:val="26"/>
        </w:rPr>
        <w:t>Vereadora</w:t>
      </w:r>
    </w:p>
    <w:p w:rsidR="006B11CC" w:rsidRPr="005B07F6" w:rsidRDefault="006B11CC" w:rsidP="00EC1486">
      <w:pPr>
        <w:spacing w:line="240" w:lineRule="auto"/>
        <w:ind w:left="-567" w:right="-710"/>
        <w:jc w:val="center"/>
        <w:rPr>
          <w:sz w:val="26"/>
          <w:szCs w:val="26"/>
        </w:rPr>
      </w:pPr>
    </w:p>
    <w:sectPr w:rsidR="006B11CC" w:rsidRPr="005B07F6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B4597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7BD2A9" wp14:editId="5E4D6C1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FA7C2F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2019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7BD2A9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" fillcolor="white [3201]" strokecolor="#00b0f0" strokeweight="2pt"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 w:rsidRPr="005B459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FA7C2F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5B4597">
                      <w:rPr>
                        <w:b/>
                        <w:color w:val="0070C0"/>
                        <w:sz w:val="24"/>
                        <w:szCs w:val="24"/>
                      </w:rPr>
                      <w:t>2019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62D547EB" wp14:editId="2B34F96F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1759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807D0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2C8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58E8"/>
    <w:rsid w:val="0029709D"/>
    <w:rsid w:val="002B638C"/>
    <w:rsid w:val="002D46C9"/>
    <w:rsid w:val="002E1978"/>
    <w:rsid w:val="002E66EB"/>
    <w:rsid w:val="002F08AF"/>
    <w:rsid w:val="002F6419"/>
    <w:rsid w:val="00302349"/>
    <w:rsid w:val="003057C7"/>
    <w:rsid w:val="00317ADB"/>
    <w:rsid w:val="0032099A"/>
    <w:rsid w:val="003405BB"/>
    <w:rsid w:val="00364155"/>
    <w:rsid w:val="003736E9"/>
    <w:rsid w:val="00375B7D"/>
    <w:rsid w:val="00381243"/>
    <w:rsid w:val="00392186"/>
    <w:rsid w:val="003C4504"/>
    <w:rsid w:val="003D0023"/>
    <w:rsid w:val="003D49D5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533C8"/>
    <w:rsid w:val="005551A1"/>
    <w:rsid w:val="0056324C"/>
    <w:rsid w:val="00564DCE"/>
    <w:rsid w:val="00565C43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2F53"/>
    <w:rsid w:val="005F3BCF"/>
    <w:rsid w:val="0060010E"/>
    <w:rsid w:val="00602337"/>
    <w:rsid w:val="006028A7"/>
    <w:rsid w:val="00602EDC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672B"/>
    <w:rsid w:val="007676E0"/>
    <w:rsid w:val="0078400C"/>
    <w:rsid w:val="00784057"/>
    <w:rsid w:val="00786E43"/>
    <w:rsid w:val="007A66DE"/>
    <w:rsid w:val="007C5DC2"/>
    <w:rsid w:val="007C5FAE"/>
    <w:rsid w:val="007D45FA"/>
    <w:rsid w:val="007D7B93"/>
    <w:rsid w:val="007F34F8"/>
    <w:rsid w:val="007F4E49"/>
    <w:rsid w:val="007F518C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46168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0BBB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76B2A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B744F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EF4DA0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A7C2F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2019-04-15T16:33:00Z</cp:lastPrinted>
  <dcterms:created xsi:type="dcterms:W3CDTF">2019-04-15T16:24:00Z</dcterms:created>
  <dcterms:modified xsi:type="dcterms:W3CDTF">2019-04-15T16:33:00Z</dcterms:modified>
</cp:coreProperties>
</file>