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320A7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307956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307956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307956">
        <w:rPr>
          <w:rFonts w:eastAsia="Times New Roman" w:cstheme="minorHAnsi"/>
          <w:b/>
          <w:sz w:val="24"/>
          <w:szCs w:val="24"/>
          <w:lang w:eastAsia="pt-BR"/>
        </w:rPr>
        <w:t>Alteração do artigo 7º da Lei 625/2013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4846D3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307956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307956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reivindica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ndo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autorização para </w:t>
      </w:r>
      <w:r w:rsidR="00307956">
        <w:rPr>
          <w:rFonts w:eastAsia="Times New Roman" w:cstheme="minorHAnsi"/>
          <w:color w:val="000000"/>
          <w:sz w:val="24"/>
          <w:szCs w:val="24"/>
          <w:lang w:eastAsia="pt-BR"/>
        </w:rPr>
        <w:t>alteração do artigo 7° da Lei nº. 625/2013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qual, após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leitura em Plenário no dia 20 de março do corrente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ano, foi encaminhado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320A7">
        <w:rPr>
          <w:rFonts w:eastAsia="Times New Roman" w:cstheme="minorHAnsi"/>
          <w:bCs/>
          <w:color w:val="000000"/>
          <w:sz w:val="24"/>
          <w:szCs w:val="24"/>
          <w:lang w:eastAsia="pt-BR"/>
        </w:rPr>
        <w:t>29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7320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março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>29 de 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320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29 de março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</w:t>
      </w:r>
      <w:bookmarkStart w:id="0" w:name="_GoBack"/>
      <w:bookmarkEnd w:id="0"/>
      <w:r w:rsidR="00A54F58">
        <w:rPr>
          <w:rFonts w:cstheme="minorHAnsi"/>
          <w:b/>
          <w:color w:val="000000"/>
          <w:sz w:val="24"/>
          <w:szCs w:val="24"/>
        </w:rPr>
        <w:t xml:space="preserve">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07956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84DF1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2019-04-01T16:38:00Z</cp:lastPrinted>
  <dcterms:created xsi:type="dcterms:W3CDTF">2019-04-01T16:33:00Z</dcterms:created>
  <dcterms:modified xsi:type="dcterms:W3CDTF">2019-04-01T16:38:00Z</dcterms:modified>
</cp:coreProperties>
</file>