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10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DECRETO 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Outorga de Título de Cidadania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 xml:space="preserve">Vereador Gelsivane </w:t>
      </w:r>
      <w:proofErr w:type="spellStart"/>
      <w:r w:rsidR="00752794">
        <w:rPr>
          <w:rFonts w:eastAsia="Times New Roman" w:cstheme="minorHAnsi"/>
          <w:b/>
          <w:sz w:val="24"/>
          <w:szCs w:val="24"/>
          <w:lang w:eastAsia="pt-BR"/>
        </w:rPr>
        <w:t>Esperdião</w:t>
      </w:r>
      <w:proofErr w:type="spellEnd"/>
      <w:r w:rsidR="00752794">
        <w:rPr>
          <w:rFonts w:eastAsia="Times New Roman" w:cstheme="minorHAnsi"/>
          <w:b/>
          <w:sz w:val="24"/>
          <w:szCs w:val="24"/>
          <w:lang w:eastAsia="pt-BR"/>
        </w:rPr>
        <w:t xml:space="preserve"> Mariano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752794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Vereador Gelsivane Mariano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Projeto 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Decreto Legislativo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propondo outorga de Título de Cidadania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qual, após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leitura em Plenário no dia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15 de abril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ano, foi encaminhado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Decreto Legislativo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22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>22</w:t>
      </w:r>
      <w:bookmarkStart w:id="0" w:name="_GoBack"/>
      <w:bookmarkEnd w:id="0"/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2019-04-01T16:32:00Z</cp:lastPrinted>
  <dcterms:created xsi:type="dcterms:W3CDTF">2019-05-05T10:58:00Z</dcterms:created>
  <dcterms:modified xsi:type="dcterms:W3CDTF">2019-05-05T11:08:00Z</dcterms:modified>
</cp:coreProperties>
</file>