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583052" w:rsidP="009E43ED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CONVERSÃO DA QUADRA MUNICIPAL DE ESPORTES EM CAMPO DE FUTEBOL SOCIETY, NA SEDE DA MUNICIPALIDADE.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9E43ED">
        <w:rPr>
          <w:sz w:val="26"/>
          <w:szCs w:val="26"/>
        </w:rPr>
        <w:t xml:space="preserve">, com cópia para o Ilustre </w:t>
      </w:r>
      <w:r w:rsidR="00CC5D37">
        <w:rPr>
          <w:b/>
          <w:sz w:val="26"/>
          <w:szCs w:val="26"/>
        </w:rPr>
        <w:t>Valmir Moretto</w:t>
      </w:r>
      <w:r w:rsidR="009E43ED" w:rsidRPr="009E43ED">
        <w:rPr>
          <w:b/>
          <w:sz w:val="26"/>
          <w:szCs w:val="26"/>
        </w:rPr>
        <w:t xml:space="preserve"> –</w:t>
      </w:r>
      <w:r w:rsidR="009E43ED">
        <w:rPr>
          <w:sz w:val="26"/>
          <w:szCs w:val="26"/>
        </w:rPr>
        <w:t xml:space="preserve"> </w:t>
      </w:r>
      <w:r w:rsidR="00CC5D37">
        <w:rPr>
          <w:sz w:val="26"/>
          <w:szCs w:val="26"/>
        </w:rPr>
        <w:t>Deputado Estadual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583052" w:rsidRDefault="00583052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 Quadra Municipal de Esportes encontra-se em lastimável estado de conservação, inativa e sem nenhum aproveitamento, sendo que por outro lado na sede da municipalidade não há nenhuma disponibilidade de um campo de futebol society, modalidade desportiva que mais encontra </w:t>
      </w:r>
      <w:r w:rsidR="00E71A81">
        <w:rPr>
          <w:sz w:val="26"/>
          <w:szCs w:val="26"/>
        </w:rPr>
        <w:t xml:space="preserve">entusiastas </w:t>
      </w:r>
      <w:r>
        <w:rPr>
          <w:sz w:val="26"/>
          <w:szCs w:val="26"/>
        </w:rPr>
        <w:t>em Porto Esperidião.</w:t>
      </w:r>
    </w:p>
    <w:p w:rsidR="00583052" w:rsidRDefault="00583052" w:rsidP="00D0323E">
      <w:pPr>
        <w:spacing w:line="240" w:lineRule="auto"/>
        <w:ind w:left="-567" w:right="-710"/>
        <w:rPr>
          <w:sz w:val="26"/>
          <w:szCs w:val="26"/>
        </w:rPr>
      </w:pPr>
    </w:p>
    <w:p w:rsidR="00583052" w:rsidRDefault="00583052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Assim, este Parlamentar propõe a conversão desse espaço ocioso em campo society, necessitando ajustes e adaptações dimensionais e estruturais, consistindo um deles na ampliação do muro frontal, tendo a necessidade de reforma da arquibancada, banheiros e vestiários</w:t>
      </w:r>
      <w:r w:rsidR="00023B29">
        <w:rPr>
          <w:sz w:val="26"/>
          <w:szCs w:val="26"/>
        </w:rPr>
        <w:t>, como a adequação da iluminação para atividades noturnas</w:t>
      </w:r>
      <w:r>
        <w:rPr>
          <w:sz w:val="26"/>
          <w:szCs w:val="26"/>
        </w:rPr>
        <w:t>.</w:t>
      </w:r>
      <w:bookmarkStart w:id="0" w:name="_GoBack"/>
      <w:bookmarkEnd w:id="0"/>
    </w:p>
    <w:p w:rsidR="00583052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sto, </w:t>
      </w:r>
      <w:r w:rsidR="00023B29">
        <w:rPr>
          <w:rFonts w:cstheme="minorHAnsi"/>
          <w:color w:val="333333"/>
          <w:sz w:val="26"/>
          <w:szCs w:val="26"/>
          <w:shd w:val="clear" w:color="auto" w:fill="FFFFFF"/>
        </w:rPr>
        <w:t>reivindico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 w:rsidR="00E71A81">
        <w:rPr>
          <w:rFonts w:cstheme="minorHAnsi"/>
          <w:color w:val="333333"/>
          <w:sz w:val="26"/>
          <w:szCs w:val="26"/>
          <w:shd w:val="clear" w:color="auto" w:fill="FFFFFF"/>
        </w:rPr>
        <w:t>efetivação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do que se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indica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E71A81" w:rsidRDefault="00E71A81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71A81" w:rsidRDefault="00E71A81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D54DD" w:rsidRPr="00D0323E" w:rsidRDefault="002D54D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023B29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Ronaldo Adriano de Oliveira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583052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583052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2021-02-04T12:14:00Z</cp:lastPrinted>
  <dcterms:created xsi:type="dcterms:W3CDTF">2021-02-05T13:37:00Z</dcterms:created>
  <dcterms:modified xsi:type="dcterms:W3CDTF">2021-02-05T15:50:00Z</dcterms:modified>
</cp:coreProperties>
</file>