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B238FF" w:rsidP="00B238FF">
      <w:pPr>
        <w:ind w:left="5529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RESTAURAÇÃO D</w:t>
      </w:r>
      <w:r w:rsidR="00476F63">
        <w:rPr>
          <w:b/>
          <w:bCs/>
          <w:sz w:val="26"/>
          <w:szCs w:val="26"/>
        </w:rPr>
        <w:t>E</w:t>
      </w:r>
      <w:r>
        <w:rPr>
          <w:b/>
          <w:bCs/>
          <w:sz w:val="26"/>
          <w:szCs w:val="26"/>
        </w:rPr>
        <w:t xml:space="preserve"> PONTE SOBRE CÓRREGO AGUAPEÍ, NA REGIÃO DO ALEGRETE 2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B238FF">
        <w:rPr>
          <w:sz w:val="26"/>
          <w:szCs w:val="26"/>
        </w:rPr>
        <w:t xml:space="preserve">16 de agosto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753F5E" w:rsidRDefault="00753F5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</w:t>
      </w:r>
      <w:bookmarkStart w:id="0" w:name="_GoBack"/>
      <w:bookmarkEnd w:id="0"/>
      <w:r w:rsidRPr="005B07F6">
        <w:rPr>
          <w:b/>
          <w:sz w:val="26"/>
          <w:szCs w:val="26"/>
          <w:u w:val="single"/>
        </w:rPr>
        <w:t>TIFICATIVA</w:t>
      </w:r>
    </w:p>
    <w:p w:rsidR="00C27F1E" w:rsidRPr="005B07F6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B238FF" w:rsidRDefault="00B238FF" w:rsidP="00B238FF">
      <w:pPr>
        <w:spacing w:line="240" w:lineRule="auto"/>
        <w:ind w:left="-567" w:right="-710"/>
        <w:rPr>
          <w:sz w:val="26"/>
          <w:szCs w:val="26"/>
        </w:rPr>
      </w:pPr>
      <w:r w:rsidRPr="00B238FF">
        <w:rPr>
          <w:sz w:val="26"/>
          <w:szCs w:val="26"/>
        </w:rPr>
        <w:t>Na estrada que liga a sede do Distrito de Vila Cardoso à região do Alto Aguapeí</w:t>
      </w:r>
      <w:r>
        <w:rPr>
          <w:sz w:val="26"/>
          <w:szCs w:val="26"/>
        </w:rPr>
        <w:t xml:space="preserve"> (Alegrete 2)</w:t>
      </w:r>
      <w:r w:rsidRPr="00B238FF">
        <w:rPr>
          <w:sz w:val="26"/>
          <w:szCs w:val="26"/>
        </w:rPr>
        <w:t xml:space="preserve">, a ponte </w:t>
      </w:r>
      <w:r>
        <w:rPr>
          <w:sz w:val="26"/>
          <w:szCs w:val="26"/>
        </w:rPr>
        <w:t xml:space="preserve">instalada </w:t>
      </w:r>
      <w:r w:rsidR="00476F63">
        <w:rPr>
          <w:sz w:val="26"/>
          <w:szCs w:val="26"/>
        </w:rPr>
        <w:t>sobre o</w:t>
      </w:r>
      <w:r>
        <w:rPr>
          <w:sz w:val="26"/>
          <w:szCs w:val="26"/>
        </w:rPr>
        <w:t xml:space="preserve"> C</w:t>
      </w:r>
      <w:r w:rsidRPr="00B238FF">
        <w:rPr>
          <w:sz w:val="26"/>
          <w:szCs w:val="26"/>
        </w:rPr>
        <w:t xml:space="preserve">órrego </w:t>
      </w:r>
      <w:r>
        <w:rPr>
          <w:sz w:val="26"/>
          <w:szCs w:val="26"/>
        </w:rPr>
        <w:t xml:space="preserve">Aguapeí, </w:t>
      </w:r>
      <w:r w:rsidRPr="00B238FF">
        <w:rPr>
          <w:sz w:val="26"/>
          <w:szCs w:val="26"/>
        </w:rPr>
        <w:t xml:space="preserve">circunvizinho </w:t>
      </w:r>
      <w:r>
        <w:rPr>
          <w:sz w:val="26"/>
          <w:szCs w:val="26"/>
        </w:rPr>
        <w:t>à Igreja Evangélica Assembleia de Deus</w:t>
      </w:r>
      <w:r w:rsidR="00476F63">
        <w:rPr>
          <w:sz w:val="26"/>
          <w:szCs w:val="26"/>
        </w:rPr>
        <w:t xml:space="preserve"> e próxima da propriedade do Senhor Zé Pampeiro, </w:t>
      </w:r>
      <w:r w:rsidRPr="00B238FF">
        <w:rPr>
          <w:sz w:val="26"/>
          <w:szCs w:val="26"/>
        </w:rPr>
        <w:t xml:space="preserve">encontra-se </w:t>
      </w:r>
      <w:r w:rsidR="00476F63">
        <w:rPr>
          <w:sz w:val="26"/>
          <w:szCs w:val="26"/>
        </w:rPr>
        <w:t xml:space="preserve">com </w:t>
      </w:r>
      <w:r w:rsidRPr="00B238FF">
        <w:rPr>
          <w:sz w:val="26"/>
          <w:szCs w:val="26"/>
        </w:rPr>
        <w:t>lastimável estado de conservação</w:t>
      </w:r>
      <w:r>
        <w:rPr>
          <w:sz w:val="26"/>
          <w:szCs w:val="26"/>
        </w:rPr>
        <w:t xml:space="preserve"> do seu </w:t>
      </w:r>
      <w:r w:rsidR="00476F63">
        <w:rPr>
          <w:sz w:val="26"/>
          <w:szCs w:val="26"/>
        </w:rPr>
        <w:t xml:space="preserve">assoalho </w:t>
      </w:r>
      <w:r>
        <w:rPr>
          <w:sz w:val="26"/>
          <w:szCs w:val="26"/>
        </w:rPr>
        <w:t>de madeira</w:t>
      </w:r>
      <w:r w:rsidRPr="00B238FF">
        <w:rPr>
          <w:sz w:val="26"/>
          <w:szCs w:val="26"/>
        </w:rPr>
        <w:t>.</w:t>
      </w:r>
    </w:p>
    <w:p w:rsidR="00476F63" w:rsidRDefault="00476F63" w:rsidP="00B238FF">
      <w:pPr>
        <w:spacing w:line="240" w:lineRule="auto"/>
        <w:ind w:left="-567" w:right="-710"/>
        <w:rPr>
          <w:sz w:val="26"/>
          <w:szCs w:val="26"/>
        </w:rPr>
      </w:pPr>
    </w:p>
    <w:p w:rsidR="00B238FF" w:rsidRPr="00B238FF" w:rsidRDefault="00476F63" w:rsidP="00B238FF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Destacamos que as tábuas do pavimento de rodagem dessa ponte estão soltas, várias comprometidas pelas erosões pluviais e intenso fluxo de veículos que por ali trafegam, observando que para </w:t>
      </w:r>
      <w:r w:rsidR="00B238FF" w:rsidRPr="00B238FF">
        <w:rPr>
          <w:sz w:val="26"/>
          <w:szCs w:val="26"/>
        </w:rPr>
        <w:t>os produtores de leite,</w:t>
      </w:r>
      <w:r>
        <w:rPr>
          <w:sz w:val="26"/>
          <w:szCs w:val="26"/>
        </w:rPr>
        <w:t xml:space="preserve"> ess</w:t>
      </w:r>
      <w:r w:rsidR="00B238FF" w:rsidRPr="00B238FF">
        <w:rPr>
          <w:sz w:val="26"/>
          <w:szCs w:val="26"/>
        </w:rPr>
        <w:t xml:space="preserve">a </w:t>
      </w:r>
      <w:r>
        <w:rPr>
          <w:sz w:val="26"/>
          <w:szCs w:val="26"/>
        </w:rPr>
        <w:t xml:space="preserve">única </w:t>
      </w:r>
      <w:r w:rsidR="00B238FF" w:rsidRPr="00B238FF">
        <w:rPr>
          <w:sz w:val="26"/>
          <w:szCs w:val="26"/>
        </w:rPr>
        <w:t>pont</w:t>
      </w:r>
      <w:r>
        <w:rPr>
          <w:sz w:val="26"/>
          <w:szCs w:val="26"/>
        </w:rPr>
        <w:t>e é de suma importância para o trânsito de</w:t>
      </w:r>
      <w:r w:rsidR="00B238FF" w:rsidRPr="00B238FF">
        <w:rPr>
          <w:sz w:val="26"/>
          <w:szCs w:val="26"/>
        </w:rPr>
        <w:t xml:space="preserve"> veículos coletores, sendo parte integrante da estrada e por onde trafegam centenas de moradores, inclusive estudantes que </w:t>
      </w:r>
      <w:r>
        <w:rPr>
          <w:sz w:val="26"/>
          <w:szCs w:val="26"/>
        </w:rPr>
        <w:t xml:space="preserve">voltarão a </w:t>
      </w:r>
      <w:r w:rsidR="00B238FF" w:rsidRPr="00B238FF">
        <w:rPr>
          <w:sz w:val="26"/>
          <w:szCs w:val="26"/>
        </w:rPr>
        <w:t>circula</w:t>
      </w:r>
      <w:r>
        <w:rPr>
          <w:sz w:val="26"/>
          <w:szCs w:val="26"/>
        </w:rPr>
        <w:t>r</w:t>
      </w:r>
      <w:r w:rsidR="00B238FF" w:rsidRPr="00B238FF">
        <w:rPr>
          <w:sz w:val="26"/>
          <w:szCs w:val="26"/>
        </w:rPr>
        <w:t xml:space="preserve"> pelo transporte escolar</w:t>
      </w:r>
      <w:r>
        <w:rPr>
          <w:sz w:val="26"/>
          <w:szCs w:val="26"/>
        </w:rPr>
        <w:t xml:space="preserve"> em aulas presenciais</w:t>
      </w:r>
      <w:r w:rsidR="00B238FF" w:rsidRPr="00B238FF">
        <w:rPr>
          <w:sz w:val="26"/>
          <w:szCs w:val="26"/>
        </w:rPr>
        <w:t>.</w:t>
      </w:r>
    </w:p>
    <w:p w:rsidR="00B238FF" w:rsidRPr="00B238FF" w:rsidRDefault="00B238FF" w:rsidP="00B238FF">
      <w:pPr>
        <w:spacing w:line="240" w:lineRule="auto"/>
        <w:ind w:left="-567" w:right="-710"/>
        <w:rPr>
          <w:sz w:val="26"/>
          <w:szCs w:val="26"/>
        </w:rPr>
      </w:pPr>
    </w:p>
    <w:p w:rsidR="00B238FF" w:rsidRPr="00B238FF" w:rsidRDefault="00B238FF" w:rsidP="00B238FF">
      <w:pPr>
        <w:spacing w:line="240" w:lineRule="auto"/>
        <w:ind w:left="-567" w:right="-710"/>
        <w:rPr>
          <w:sz w:val="26"/>
          <w:szCs w:val="26"/>
        </w:rPr>
      </w:pPr>
      <w:r w:rsidRPr="00B238FF">
        <w:rPr>
          <w:sz w:val="26"/>
          <w:szCs w:val="26"/>
        </w:rPr>
        <w:t>Face ao exposto, na certeza do apoio dos Nobres Pares, solicito deferimento, com rápido despacho ao Executivo para efetivação desta, com propósito de antever problemas futuros.</w:t>
      </w:r>
    </w:p>
    <w:p w:rsidR="009F3A37" w:rsidRDefault="009F3A37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476F63" w:rsidRDefault="002D54DD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476F63">
        <w:rPr>
          <w:b/>
          <w:sz w:val="26"/>
          <w:szCs w:val="26"/>
        </w:rPr>
        <w:t>André de França Rosa</w:t>
      </w:r>
    </w:p>
    <w:p w:rsidR="006B11CC" w:rsidRPr="00476F63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476F63">
        <w:rPr>
          <w:b/>
          <w:sz w:val="26"/>
          <w:szCs w:val="26"/>
        </w:rPr>
        <w:t>Vereador</w:t>
      </w:r>
    </w:p>
    <w:sectPr w:rsidR="006B11CC" w:rsidRPr="00476F63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B238F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75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B238F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75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1752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3CB9"/>
    <w:rsid w:val="0029709D"/>
    <w:rsid w:val="002B638C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76F63"/>
    <w:rsid w:val="00480E32"/>
    <w:rsid w:val="0048213D"/>
    <w:rsid w:val="0048214C"/>
    <w:rsid w:val="004849E3"/>
    <w:rsid w:val="0048607F"/>
    <w:rsid w:val="00492C38"/>
    <w:rsid w:val="00493EF1"/>
    <w:rsid w:val="004A2656"/>
    <w:rsid w:val="004B2784"/>
    <w:rsid w:val="004B2CA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53F5E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3A37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C657F"/>
    <w:rsid w:val="00AD0DCC"/>
    <w:rsid w:val="00AE507F"/>
    <w:rsid w:val="00AF0C45"/>
    <w:rsid w:val="00B1165A"/>
    <w:rsid w:val="00B12849"/>
    <w:rsid w:val="00B20DC6"/>
    <w:rsid w:val="00B2225C"/>
    <w:rsid w:val="00B238FF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3</cp:revision>
  <cp:lastPrinted>2021-08-16T18:36:00Z</cp:lastPrinted>
  <dcterms:created xsi:type="dcterms:W3CDTF">2021-08-16T18:15:00Z</dcterms:created>
  <dcterms:modified xsi:type="dcterms:W3CDTF">2021-08-16T18:36:00Z</dcterms:modified>
</cp:coreProperties>
</file>